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0A109" w14:textId="1E4E5B2A" w:rsidR="006D629A" w:rsidRDefault="00115FBE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 xml:space="preserve">E5Lc. </w:t>
      </w:r>
      <w:r w:rsidRPr="00115FBE">
        <w:rPr>
          <w:rFonts w:ascii="Arial" w:hAnsi="Arial" w:cs="Arial"/>
          <w:color w:val="191919"/>
          <w:sz w:val="24"/>
          <w:szCs w:val="24"/>
        </w:rPr>
        <w:t>definir los mecanismos que permitan la participación de la población en la toma de decisiones en la inversión pública</w:t>
      </w:r>
      <w:r>
        <w:rPr>
          <w:rFonts w:ascii="Arial" w:hAnsi="Arial" w:cs="Arial"/>
          <w:color w:val="191919"/>
          <w:sz w:val="24"/>
          <w:szCs w:val="24"/>
        </w:rPr>
        <w:t>.</w:t>
      </w:r>
    </w:p>
    <w:p w14:paraId="39485A23" w14:textId="123437DB" w:rsidR="00115FBE" w:rsidRPr="00115FBE" w:rsidRDefault="00115FBE" w:rsidP="00115FBE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15FBE">
        <w:rPr>
          <w:rFonts w:ascii="Arial" w:hAnsi="Arial" w:cs="Arial"/>
          <w:color w:val="191919"/>
          <w:sz w:val="24"/>
          <w:szCs w:val="24"/>
        </w:rPr>
        <w:t>Publicación de pliegos de condiciones de la inversión publica a través de plataforma secop</w:t>
      </w:r>
      <w:bookmarkStart w:id="0" w:name="_GoBack"/>
      <w:bookmarkEnd w:id="0"/>
    </w:p>
    <w:p w14:paraId="049B35CE" w14:textId="77777777" w:rsidR="00115FBE" w:rsidRDefault="00115FBE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D35578B" w14:textId="233EE773" w:rsidR="002E27A0" w:rsidRPr="002E27A0" w:rsidRDefault="002E27A0" w:rsidP="002E27A0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2E27A0">
        <w:rPr>
          <w:rFonts w:ascii="Arial" w:hAnsi="Arial" w:cs="Arial"/>
          <w:color w:val="191919"/>
          <w:sz w:val="24"/>
          <w:szCs w:val="24"/>
        </w:rPr>
        <w:t xml:space="preserve">En cumplimiento de la meta de definir mecanismos que permitan la participación de la población en la toma de decisiones sobre la inversión pública, y en desarrollo de la actividad de publicación de los pliegos de condiciones de la inversión pública a través de la plataforma SECOP, el Hospital Departamental María Inmaculada E.S.E. informa que se encuentra en la fase final de ejecución del proyecto </w:t>
      </w:r>
      <w:r w:rsidRPr="002E27A0">
        <w:rPr>
          <w:rFonts w:ascii="Arial" w:hAnsi="Arial" w:cs="Arial"/>
          <w:b/>
          <w:bCs/>
          <w:i/>
          <w:iCs/>
          <w:color w:val="191919"/>
          <w:sz w:val="24"/>
          <w:szCs w:val="24"/>
        </w:rPr>
        <w:t>“Mejoramiento y adecuación del puesto de salud de Agua Caliente, en el municipio de Morelia”</w:t>
      </w:r>
      <w:r>
        <w:rPr>
          <w:rFonts w:ascii="Arial" w:hAnsi="Arial" w:cs="Arial"/>
          <w:i/>
          <w:iCs/>
          <w:color w:val="191919"/>
          <w:sz w:val="24"/>
          <w:szCs w:val="24"/>
        </w:rPr>
        <w:t>.</w:t>
      </w:r>
    </w:p>
    <w:p w14:paraId="626C6941" w14:textId="77777777" w:rsidR="002E27A0" w:rsidRPr="002E27A0" w:rsidRDefault="002E27A0" w:rsidP="002E27A0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CA19810" w14:textId="740EC2D1" w:rsidR="00E70C7E" w:rsidRDefault="002E27A0" w:rsidP="002E27A0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2E27A0">
        <w:rPr>
          <w:rFonts w:ascii="Arial" w:hAnsi="Arial" w:cs="Arial"/>
          <w:color w:val="191919"/>
          <w:sz w:val="24"/>
          <w:szCs w:val="24"/>
        </w:rPr>
        <w:t>En el marco de este proceso, los pliegos de condiciones y demás actuaciones contractuales fueron publicados de manera oportuna en la plataforma SECOP II, como mecanismo de transparencia, acceso a la información y participación ciudadana, permitiendo a la comunidad y a los interesados conocer y hacer seguimiento a la inversión pública.</w:t>
      </w:r>
    </w:p>
    <w:p w14:paraId="60FED13B" w14:textId="77777777" w:rsidR="002E27A0" w:rsidRDefault="002E27A0" w:rsidP="002E27A0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</w:p>
    <w:p w14:paraId="144C1A2F" w14:textId="2AADB221" w:rsidR="00722C04" w:rsidRDefault="00E70C7E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  <w:r w:rsidRPr="00E70C7E">
        <w:rPr>
          <w:rFonts w:ascii="Arial" w:hAnsi="Arial" w:cs="Arial"/>
          <w:b/>
          <w:bCs/>
          <w:color w:val="191919"/>
          <w:sz w:val="24"/>
          <w:szCs w:val="24"/>
        </w:rPr>
        <w:t>Recurso Económico invertido</w:t>
      </w:r>
      <w:r>
        <w:rPr>
          <w:rFonts w:ascii="Arial" w:hAnsi="Arial" w:cs="Arial"/>
          <w:b/>
          <w:bCs/>
          <w:color w:val="191919"/>
          <w:sz w:val="24"/>
          <w:szCs w:val="24"/>
        </w:rPr>
        <w:t xml:space="preserve">: </w:t>
      </w:r>
      <w:r w:rsidR="00722C04" w:rsidRPr="00722C04">
        <w:rPr>
          <w:rFonts w:ascii="Arial" w:hAnsi="Arial" w:cs="Arial"/>
          <w:color w:val="191919"/>
          <w:sz w:val="24"/>
          <w:szCs w:val="24"/>
        </w:rPr>
        <w:t>$ 269.104.753</w:t>
      </w:r>
    </w:p>
    <w:p w14:paraId="211D1CDD" w14:textId="77777777" w:rsidR="002E27A0" w:rsidRDefault="002E27A0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</w:p>
    <w:p w14:paraId="2AFFA0A2" w14:textId="21B03BB0" w:rsidR="002E27A0" w:rsidRDefault="007B17B0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  <w:r w:rsidRPr="007B17B0">
        <w:rPr>
          <w:rFonts w:ascii="Arial" w:hAnsi="Arial" w:cs="Arial"/>
          <w:b/>
          <w:bCs/>
          <w:noProof/>
          <w:color w:val="191919"/>
          <w:sz w:val="24"/>
          <w:szCs w:val="24"/>
        </w:rPr>
        <w:drawing>
          <wp:inline distT="0" distB="0" distL="0" distR="0" wp14:anchorId="654DB82A" wp14:editId="7620FB51">
            <wp:extent cx="2650987" cy="3420364"/>
            <wp:effectExtent l="12700" t="12700" r="16510" b="8890"/>
            <wp:docPr id="2804098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098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7228" cy="345422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91919"/>
          <w:sz w:val="24"/>
          <w:szCs w:val="24"/>
        </w:rPr>
        <w:t xml:space="preserve"> </w:t>
      </w:r>
      <w:r w:rsidRPr="007B17B0">
        <w:rPr>
          <w:rFonts w:ascii="Arial" w:hAnsi="Arial" w:cs="Arial"/>
          <w:b/>
          <w:bCs/>
          <w:noProof/>
          <w:color w:val="191919"/>
          <w:sz w:val="24"/>
          <w:szCs w:val="24"/>
        </w:rPr>
        <w:drawing>
          <wp:inline distT="0" distB="0" distL="0" distR="0" wp14:anchorId="00EEA269" wp14:editId="50A40092">
            <wp:extent cx="2730500" cy="3423783"/>
            <wp:effectExtent l="12700" t="12700" r="12700" b="18415"/>
            <wp:docPr id="2798836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36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1278" cy="344983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396F7F" w14:textId="77777777" w:rsidR="007B17B0" w:rsidRDefault="007B17B0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16"/>
          <w:szCs w:val="16"/>
        </w:rPr>
      </w:pPr>
    </w:p>
    <w:p w14:paraId="066DB5E9" w14:textId="21E69D9E" w:rsidR="007B17B0" w:rsidRPr="007B17B0" w:rsidRDefault="007B17B0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16"/>
          <w:szCs w:val="16"/>
        </w:rPr>
      </w:pPr>
      <w:r w:rsidRPr="007B17B0">
        <w:rPr>
          <w:rFonts w:ascii="Arial" w:hAnsi="Arial" w:cs="Arial"/>
          <w:b/>
          <w:bCs/>
          <w:color w:val="191919"/>
          <w:sz w:val="16"/>
          <w:szCs w:val="16"/>
        </w:rPr>
        <w:t xml:space="preserve">Fuente. </w:t>
      </w:r>
      <w:r w:rsidRPr="007B17B0">
        <w:rPr>
          <w:rFonts w:ascii="Arial" w:hAnsi="Arial" w:cs="Arial"/>
          <w:color w:val="191919"/>
          <w:sz w:val="16"/>
          <w:szCs w:val="16"/>
        </w:rPr>
        <w:t>SECOP II Datos Abiertos</w:t>
      </w:r>
    </w:p>
    <w:p w14:paraId="454B446A" w14:textId="3D88D1D7" w:rsidR="007B17B0" w:rsidRDefault="00722C04" w:rsidP="007B17B0">
      <w:pPr>
        <w:spacing w:after="0" w:line="240" w:lineRule="auto"/>
        <w:jc w:val="center"/>
        <w:rPr>
          <w:rFonts w:ascii="Arial" w:hAnsi="Arial" w:cs="Arial"/>
          <w:color w:val="191919"/>
          <w:sz w:val="24"/>
          <w:szCs w:val="24"/>
        </w:rPr>
      </w:pPr>
      <w:r w:rsidRPr="00722C04">
        <w:rPr>
          <w:rFonts w:ascii="Arial" w:hAnsi="Arial" w:cs="Arial"/>
          <w:noProof/>
          <w:color w:val="191919"/>
          <w:sz w:val="24"/>
          <w:szCs w:val="24"/>
        </w:rPr>
        <w:lastRenderedPageBreak/>
        <w:drawing>
          <wp:inline distT="0" distB="0" distL="0" distR="0" wp14:anchorId="43207DDE" wp14:editId="61CB7B60">
            <wp:extent cx="3870187" cy="3537382"/>
            <wp:effectExtent l="12700" t="12700" r="16510" b="6350"/>
            <wp:docPr id="341265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657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4142" cy="356841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F16ECF8" w14:textId="738C6F5F" w:rsidR="006D629A" w:rsidRPr="007B17B0" w:rsidRDefault="007B17B0" w:rsidP="007B17B0">
      <w:pPr>
        <w:spacing w:after="0" w:line="240" w:lineRule="auto"/>
        <w:jc w:val="center"/>
        <w:rPr>
          <w:rFonts w:ascii="Arial" w:hAnsi="Arial" w:cs="Arial"/>
          <w:b/>
          <w:bCs/>
          <w:color w:val="191919"/>
          <w:sz w:val="16"/>
          <w:szCs w:val="16"/>
        </w:rPr>
      </w:pPr>
      <w:r w:rsidRPr="007B17B0">
        <w:rPr>
          <w:rFonts w:ascii="Arial" w:hAnsi="Arial" w:cs="Arial"/>
          <w:b/>
          <w:bCs/>
          <w:color w:val="191919"/>
          <w:sz w:val="16"/>
          <w:szCs w:val="16"/>
        </w:rPr>
        <w:t xml:space="preserve">Fuente. </w:t>
      </w:r>
      <w:r w:rsidRPr="007B17B0">
        <w:rPr>
          <w:rFonts w:ascii="Arial" w:hAnsi="Arial" w:cs="Arial"/>
          <w:color w:val="191919"/>
          <w:sz w:val="16"/>
          <w:szCs w:val="16"/>
        </w:rPr>
        <w:t>MGA – Metodología General Ajustada</w:t>
      </w:r>
    </w:p>
    <w:p w14:paraId="7BCC713D" w14:textId="77777777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7CCAC60" w14:textId="66BF0305" w:rsidR="004847D0" w:rsidRDefault="00EA61B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b/>
          <w:bCs/>
          <w:color w:val="191919"/>
          <w:sz w:val="24"/>
          <w:szCs w:val="24"/>
        </w:rPr>
        <w:t xml:space="preserve">Número de personas que fueron impactadas con la actividad: </w:t>
      </w:r>
      <w:r>
        <w:rPr>
          <w:rFonts w:ascii="Arial" w:hAnsi="Arial" w:cs="Arial"/>
          <w:color w:val="191919"/>
          <w:sz w:val="24"/>
          <w:szCs w:val="24"/>
        </w:rPr>
        <w:t>3.786 personas</w:t>
      </w:r>
    </w:p>
    <w:p w14:paraId="4B478672" w14:textId="77777777" w:rsidR="007B17B0" w:rsidRPr="00EA61B0" w:rsidRDefault="007B17B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ED7DA2E" w14:textId="2ED978E5" w:rsidR="00EA61B0" w:rsidRDefault="00EA61B0" w:rsidP="00EA61B0">
      <w:pPr>
        <w:spacing w:after="0" w:line="240" w:lineRule="auto"/>
        <w:jc w:val="center"/>
        <w:rPr>
          <w:rFonts w:ascii="Arial" w:hAnsi="Arial" w:cs="Arial"/>
          <w:b/>
          <w:bCs/>
          <w:color w:val="191919"/>
          <w:sz w:val="24"/>
          <w:szCs w:val="24"/>
        </w:rPr>
      </w:pPr>
      <w:r w:rsidRPr="00EA61B0">
        <w:rPr>
          <w:rFonts w:ascii="Arial" w:hAnsi="Arial" w:cs="Arial"/>
          <w:b/>
          <w:bCs/>
          <w:noProof/>
          <w:color w:val="191919"/>
          <w:sz w:val="24"/>
          <w:szCs w:val="24"/>
        </w:rPr>
        <w:drawing>
          <wp:inline distT="0" distB="0" distL="0" distR="0" wp14:anchorId="67FFBE88" wp14:editId="4B97632A">
            <wp:extent cx="4002157" cy="3351886"/>
            <wp:effectExtent l="12700" t="12700" r="11430" b="13970"/>
            <wp:docPr id="1430823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234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810" cy="335913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CA2F603" w14:textId="0FB6080A" w:rsidR="002E27A0" w:rsidRPr="007B17B0" w:rsidRDefault="002E27A0" w:rsidP="00EA61B0">
      <w:pPr>
        <w:spacing w:after="0" w:line="240" w:lineRule="auto"/>
        <w:jc w:val="center"/>
        <w:rPr>
          <w:rFonts w:ascii="Arial" w:hAnsi="Arial" w:cs="Arial"/>
          <w:b/>
          <w:bCs/>
          <w:color w:val="191919"/>
          <w:sz w:val="16"/>
          <w:szCs w:val="16"/>
        </w:rPr>
      </w:pPr>
      <w:r w:rsidRPr="007B17B0">
        <w:rPr>
          <w:rFonts w:ascii="Arial" w:hAnsi="Arial" w:cs="Arial"/>
          <w:b/>
          <w:bCs/>
          <w:color w:val="191919"/>
          <w:sz w:val="16"/>
          <w:szCs w:val="16"/>
        </w:rPr>
        <w:t xml:space="preserve">Fuente. </w:t>
      </w:r>
      <w:r w:rsidRPr="007B17B0">
        <w:rPr>
          <w:rFonts w:ascii="Arial" w:hAnsi="Arial" w:cs="Arial"/>
          <w:color w:val="191919"/>
          <w:sz w:val="16"/>
          <w:szCs w:val="16"/>
        </w:rPr>
        <w:t>MGA – Metodología General Ajustada</w:t>
      </w:r>
    </w:p>
    <w:p w14:paraId="26A7BB9E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1FFB3AD0" w14:textId="77777777" w:rsidR="007B17B0" w:rsidRDefault="007B17B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7B17B0">
        <w:rPr>
          <w:rFonts w:ascii="Arial" w:hAnsi="Arial" w:cs="Arial"/>
          <w:color w:val="191919"/>
          <w:sz w:val="24"/>
          <w:szCs w:val="24"/>
        </w:rPr>
        <w:t>Los procesos contractuales asociados al proyecto se encuentran disponibles para consulta pública en SECOP II, a través de los enlaces dispuestos:</w:t>
      </w:r>
    </w:p>
    <w:p w14:paraId="5B80C367" w14:textId="77777777" w:rsidR="007B17B0" w:rsidRDefault="007B17B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4CE6E3E" w14:textId="040C00A1" w:rsidR="00EA61B0" w:rsidRDefault="00A70B7E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hyperlink r:id="rId13" w:history="1">
        <w:r w:rsidR="002E27A0" w:rsidRPr="007A3E52">
          <w:rPr>
            <w:rStyle w:val="Hipervnculo"/>
            <w:rFonts w:ascii="Arial" w:hAnsi="Arial" w:cs="Arial"/>
            <w:sz w:val="24"/>
            <w:szCs w:val="24"/>
          </w:rPr>
          <w:t>https://community.secop.gov.co/Public/Tendering/OpportunityDetail/Index?noticeUID=CO1.NTC.8900413</w:t>
        </w:r>
      </w:hyperlink>
    </w:p>
    <w:p w14:paraId="4822EED9" w14:textId="77777777" w:rsidR="002E27A0" w:rsidRDefault="002E27A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E4DC492" w14:textId="2EC9FE42" w:rsidR="00EA61B0" w:rsidRDefault="00A70B7E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hyperlink r:id="rId14" w:history="1">
        <w:r w:rsidR="002E27A0" w:rsidRPr="007A3E52">
          <w:rPr>
            <w:rStyle w:val="Hipervnculo"/>
            <w:rFonts w:ascii="Arial" w:hAnsi="Arial" w:cs="Arial"/>
            <w:sz w:val="24"/>
            <w:szCs w:val="24"/>
          </w:rPr>
          <w:t>https://community.secop.gov.co/Public/Tendering/OpportunityDetail/Index?noticeUID=CO1.NTC.8899677</w:t>
        </w:r>
      </w:hyperlink>
    </w:p>
    <w:p w14:paraId="28F87B29" w14:textId="77777777" w:rsidR="002E27A0" w:rsidRDefault="002E27A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143D9DEA" w14:textId="77777777" w:rsidR="00EA61B0" w:rsidRDefault="00EA61B0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15376A14" w14:textId="15192465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Atentamente,</w:t>
      </w:r>
    </w:p>
    <w:p w14:paraId="159DDEC2" w14:textId="77777777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452CE5D" w14:textId="00A93324" w:rsidR="006D629A" w:rsidRPr="006D629A" w:rsidRDefault="006D629A" w:rsidP="006D629A">
      <w:pPr>
        <w:spacing w:after="0" w:line="240" w:lineRule="auto"/>
        <w:jc w:val="both"/>
        <w:rPr>
          <w:rFonts w:ascii="Arial" w:hAnsi="Arial" w:cs="Arial"/>
          <w:b/>
          <w:bCs/>
          <w:color w:val="191919"/>
          <w:sz w:val="24"/>
          <w:szCs w:val="24"/>
        </w:rPr>
      </w:pPr>
      <w:r w:rsidRPr="006D629A">
        <w:rPr>
          <w:rFonts w:ascii="Arial" w:hAnsi="Arial" w:cs="Arial"/>
          <w:b/>
          <w:bCs/>
          <w:color w:val="191919"/>
          <w:sz w:val="24"/>
          <w:szCs w:val="24"/>
        </w:rPr>
        <w:t>JAVIER OSWALDO RINCON MUÑOZ</w:t>
      </w:r>
    </w:p>
    <w:p w14:paraId="19D3BE25" w14:textId="4AD5DECB" w:rsidR="006D629A" w:rsidRDefault="006D629A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191919"/>
          <w:sz w:val="24"/>
          <w:szCs w:val="24"/>
        </w:rPr>
        <w:t>Jefe Oficina Asesora de Planeación</w:t>
      </w:r>
    </w:p>
    <w:p w14:paraId="3A845B13" w14:textId="77777777" w:rsidR="00FF525C" w:rsidRDefault="00FF525C" w:rsidP="006D629A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1A8901A" w14:textId="270D2951" w:rsidR="00FF525C" w:rsidRPr="00FF525C" w:rsidRDefault="00FF525C" w:rsidP="006D629A">
      <w:pPr>
        <w:spacing w:after="0" w:line="240" w:lineRule="auto"/>
        <w:jc w:val="both"/>
        <w:rPr>
          <w:rFonts w:ascii="Arial" w:hAnsi="Arial" w:cs="Arial"/>
          <w:color w:val="191919"/>
          <w:sz w:val="16"/>
          <w:szCs w:val="16"/>
        </w:rPr>
      </w:pPr>
      <w:r w:rsidRPr="00FF525C">
        <w:rPr>
          <w:rFonts w:ascii="Arial" w:hAnsi="Arial" w:cs="Arial"/>
          <w:color w:val="191919"/>
          <w:sz w:val="16"/>
          <w:szCs w:val="16"/>
        </w:rPr>
        <w:t>Proyectó. Karine Buitrago Villalobos – Contratista Oficina Asesora de Planeación</w:t>
      </w:r>
    </w:p>
    <w:p w14:paraId="1D6AEE7F" w14:textId="2A4C481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B767EE9" w14:textId="1BEF81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E41D87F" w14:textId="4F1B5D9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7E19748" w14:textId="54759EEA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F5E5737" w14:textId="2144BB8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4DA64F5" w14:textId="295FF91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1E32139" w14:textId="617E60F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85A0A91" w14:textId="415430AC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5DC01B6" w14:textId="743A8B0A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4F4FC5E" w14:textId="45824DD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2F0BA3F" w14:textId="5825E2DE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07D52A3" w14:textId="22D817F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71B8BDC" w14:textId="56D154CE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37AF5387" w14:textId="5C244313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62E125B" w14:textId="608320D2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218F0A8F" w14:textId="0794C381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711CDE23" w14:textId="7B82E0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6E58514" w14:textId="0E2F4CE0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47A4E379" w14:textId="1BB77858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68908435" w14:textId="0B2CE6F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54A50897" w14:textId="5A475C8D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9B8A6A4" w14:textId="0BDD8865" w:rsidR="00DB184C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p w14:paraId="0A611036" w14:textId="48B7A9B4" w:rsidR="00DB184C" w:rsidRPr="001D0B89" w:rsidRDefault="00DB184C" w:rsidP="00B72F38">
      <w:pPr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</w:p>
    <w:sectPr w:rsidR="00DB184C" w:rsidRPr="001D0B89" w:rsidSect="00DB184C">
      <w:headerReference w:type="default" r:id="rId15"/>
      <w:pgSz w:w="12240" w:h="15840"/>
      <w:pgMar w:top="1678" w:right="1701" w:bottom="1985" w:left="1701" w:header="0" w:footer="1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98B0" w14:textId="77777777" w:rsidR="00A70B7E" w:rsidRDefault="00A70B7E" w:rsidP="008D5931">
      <w:pPr>
        <w:spacing w:after="0" w:line="240" w:lineRule="auto"/>
      </w:pPr>
      <w:r>
        <w:separator/>
      </w:r>
    </w:p>
  </w:endnote>
  <w:endnote w:type="continuationSeparator" w:id="0">
    <w:p w14:paraId="78B273C0" w14:textId="77777777" w:rsidR="00A70B7E" w:rsidRDefault="00A70B7E" w:rsidP="008D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98A39" w14:textId="77777777" w:rsidR="00A70B7E" w:rsidRDefault="00A70B7E" w:rsidP="008D5931">
      <w:pPr>
        <w:spacing w:after="0" w:line="240" w:lineRule="auto"/>
      </w:pPr>
      <w:r>
        <w:separator/>
      </w:r>
    </w:p>
  </w:footnote>
  <w:footnote w:type="continuationSeparator" w:id="0">
    <w:p w14:paraId="74FE65B9" w14:textId="77777777" w:rsidR="00A70B7E" w:rsidRDefault="00A70B7E" w:rsidP="008D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5AF0F" w14:textId="25DC215A" w:rsidR="008D5931" w:rsidRDefault="00D50C22" w:rsidP="00D50C22">
    <w:pPr>
      <w:pStyle w:val="Encabezado"/>
      <w:ind w:left="-1701" w:firstLine="170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2044C" wp14:editId="0D05DE59">
          <wp:simplePos x="0" y="0"/>
          <wp:positionH relativeFrom="page">
            <wp:align>right</wp:align>
          </wp:positionH>
          <wp:positionV relativeFrom="paragraph">
            <wp:posOffset>-184785</wp:posOffset>
          </wp:positionV>
          <wp:extent cx="7878184" cy="10224000"/>
          <wp:effectExtent l="0" t="0" r="8890" b="635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184" cy="102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1E1F"/>
    <w:multiLevelType w:val="multilevel"/>
    <w:tmpl w:val="7F3A7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090D6F"/>
    <w:multiLevelType w:val="hybridMultilevel"/>
    <w:tmpl w:val="21B0D82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813AE5"/>
    <w:multiLevelType w:val="hybridMultilevel"/>
    <w:tmpl w:val="4A24B58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D386C"/>
    <w:multiLevelType w:val="hybridMultilevel"/>
    <w:tmpl w:val="93C2EAB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3491"/>
    <w:multiLevelType w:val="hybridMultilevel"/>
    <w:tmpl w:val="AC501D6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62CA5"/>
    <w:multiLevelType w:val="multilevel"/>
    <w:tmpl w:val="DCB8FE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E7B7004"/>
    <w:multiLevelType w:val="hybridMultilevel"/>
    <w:tmpl w:val="4280B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434ED6"/>
    <w:multiLevelType w:val="hybridMultilevel"/>
    <w:tmpl w:val="6AE0A9F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0A1F7D"/>
    <w:multiLevelType w:val="hybridMultilevel"/>
    <w:tmpl w:val="686EBE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D16FA"/>
    <w:multiLevelType w:val="hybridMultilevel"/>
    <w:tmpl w:val="9142FA56"/>
    <w:lvl w:ilvl="0" w:tplc="240A000F">
      <w:start w:val="1"/>
      <w:numFmt w:val="decimal"/>
      <w:lvlText w:val="%1."/>
      <w:lvlJc w:val="left"/>
      <w:pPr>
        <w:ind w:left="643" w:hanging="360"/>
      </w:p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A692540"/>
    <w:multiLevelType w:val="hybridMultilevel"/>
    <w:tmpl w:val="7DF83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7433F"/>
    <w:multiLevelType w:val="hybridMultilevel"/>
    <w:tmpl w:val="1A46500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AF0EA8"/>
    <w:multiLevelType w:val="hybridMultilevel"/>
    <w:tmpl w:val="EF2AD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51316"/>
    <w:multiLevelType w:val="hybridMultilevel"/>
    <w:tmpl w:val="4ABA51E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13"/>
  </w:num>
  <w:num w:numId="6">
    <w:abstractNumId w:val="11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  <w:num w:numId="11">
    <w:abstractNumId w:val="4"/>
  </w:num>
  <w:num w:numId="12">
    <w:abstractNumId w:val="10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14"/>
    <w:rsid w:val="00024198"/>
    <w:rsid w:val="000A033B"/>
    <w:rsid w:val="000E2C7C"/>
    <w:rsid w:val="000F52A6"/>
    <w:rsid w:val="00115FBE"/>
    <w:rsid w:val="00172DB1"/>
    <w:rsid w:val="001952F5"/>
    <w:rsid w:val="001A1408"/>
    <w:rsid w:val="001C291B"/>
    <w:rsid w:val="001D0B89"/>
    <w:rsid w:val="001D13B2"/>
    <w:rsid w:val="002139A4"/>
    <w:rsid w:val="002172BA"/>
    <w:rsid w:val="00242927"/>
    <w:rsid w:val="002850F1"/>
    <w:rsid w:val="00285F9A"/>
    <w:rsid w:val="002C2F8B"/>
    <w:rsid w:val="002C44EB"/>
    <w:rsid w:val="002E27A0"/>
    <w:rsid w:val="00302515"/>
    <w:rsid w:val="003051D0"/>
    <w:rsid w:val="0031112F"/>
    <w:rsid w:val="00333676"/>
    <w:rsid w:val="003347E7"/>
    <w:rsid w:val="00380F91"/>
    <w:rsid w:val="003A0CC2"/>
    <w:rsid w:val="003A1648"/>
    <w:rsid w:val="003A510D"/>
    <w:rsid w:val="003E21BB"/>
    <w:rsid w:val="003F6C14"/>
    <w:rsid w:val="004209BF"/>
    <w:rsid w:val="00424BCD"/>
    <w:rsid w:val="00432900"/>
    <w:rsid w:val="0044189F"/>
    <w:rsid w:val="00451F22"/>
    <w:rsid w:val="00452B7D"/>
    <w:rsid w:val="00464E95"/>
    <w:rsid w:val="004731D5"/>
    <w:rsid w:val="0047605B"/>
    <w:rsid w:val="004847D0"/>
    <w:rsid w:val="00491C04"/>
    <w:rsid w:val="00492EC4"/>
    <w:rsid w:val="00493C13"/>
    <w:rsid w:val="004A29F2"/>
    <w:rsid w:val="004A2D97"/>
    <w:rsid w:val="004B3F15"/>
    <w:rsid w:val="004F7668"/>
    <w:rsid w:val="005109C2"/>
    <w:rsid w:val="00561963"/>
    <w:rsid w:val="00577235"/>
    <w:rsid w:val="00586562"/>
    <w:rsid w:val="005A6359"/>
    <w:rsid w:val="005E76CF"/>
    <w:rsid w:val="005F0247"/>
    <w:rsid w:val="006017E8"/>
    <w:rsid w:val="0060598D"/>
    <w:rsid w:val="00633E54"/>
    <w:rsid w:val="00642636"/>
    <w:rsid w:val="00647C2C"/>
    <w:rsid w:val="00651148"/>
    <w:rsid w:val="00653142"/>
    <w:rsid w:val="00664699"/>
    <w:rsid w:val="00665E36"/>
    <w:rsid w:val="00675EDE"/>
    <w:rsid w:val="00680261"/>
    <w:rsid w:val="00687FA0"/>
    <w:rsid w:val="006D629A"/>
    <w:rsid w:val="0070680A"/>
    <w:rsid w:val="0071064E"/>
    <w:rsid w:val="00722C04"/>
    <w:rsid w:val="00723226"/>
    <w:rsid w:val="007264B2"/>
    <w:rsid w:val="0074106C"/>
    <w:rsid w:val="0076763A"/>
    <w:rsid w:val="007A65E7"/>
    <w:rsid w:val="007B17B0"/>
    <w:rsid w:val="007B28BF"/>
    <w:rsid w:val="007C0DA3"/>
    <w:rsid w:val="007C5F63"/>
    <w:rsid w:val="0081296A"/>
    <w:rsid w:val="00814D6F"/>
    <w:rsid w:val="00846F80"/>
    <w:rsid w:val="0087303D"/>
    <w:rsid w:val="008977DC"/>
    <w:rsid w:val="008C5189"/>
    <w:rsid w:val="008D1684"/>
    <w:rsid w:val="008D5931"/>
    <w:rsid w:val="009000E3"/>
    <w:rsid w:val="00914A93"/>
    <w:rsid w:val="00915872"/>
    <w:rsid w:val="009573BC"/>
    <w:rsid w:val="0096718F"/>
    <w:rsid w:val="00976178"/>
    <w:rsid w:val="009804B7"/>
    <w:rsid w:val="00980CEB"/>
    <w:rsid w:val="0098600F"/>
    <w:rsid w:val="009908B6"/>
    <w:rsid w:val="009C285A"/>
    <w:rsid w:val="009D3243"/>
    <w:rsid w:val="009D60C3"/>
    <w:rsid w:val="009E41FC"/>
    <w:rsid w:val="009F076C"/>
    <w:rsid w:val="00A25AA5"/>
    <w:rsid w:val="00A41CDA"/>
    <w:rsid w:val="00A4423F"/>
    <w:rsid w:val="00A70B7E"/>
    <w:rsid w:val="00A80D08"/>
    <w:rsid w:val="00A95059"/>
    <w:rsid w:val="00AA2DBE"/>
    <w:rsid w:val="00AA3BAA"/>
    <w:rsid w:val="00AF5A66"/>
    <w:rsid w:val="00B272C8"/>
    <w:rsid w:val="00B32110"/>
    <w:rsid w:val="00B43B14"/>
    <w:rsid w:val="00B61390"/>
    <w:rsid w:val="00B72F38"/>
    <w:rsid w:val="00BD0998"/>
    <w:rsid w:val="00BE050E"/>
    <w:rsid w:val="00BE146E"/>
    <w:rsid w:val="00BE5951"/>
    <w:rsid w:val="00C006E9"/>
    <w:rsid w:val="00C45687"/>
    <w:rsid w:val="00C61FAF"/>
    <w:rsid w:val="00C67CF8"/>
    <w:rsid w:val="00C710D1"/>
    <w:rsid w:val="00CA78BD"/>
    <w:rsid w:val="00CF4539"/>
    <w:rsid w:val="00D21524"/>
    <w:rsid w:val="00D50C22"/>
    <w:rsid w:val="00D5621A"/>
    <w:rsid w:val="00D61393"/>
    <w:rsid w:val="00D6440B"/>
    <w:rsid w:val="00D678E0"/>
    <w:rsid w:val="00D90CEF"/>
    <w:rsid w:val="00D92FBB"/>
    <w:rsid w:val="00DB184C"/>
    <w:rsid w:val="00DC27BB"/>
    <w:rsid w:val="00DF7CBF"/>
    <w:rsid w:val="00E43DC8"/>
    <w:rsid w:val="00E548F2"/>
    <w:rsid w:val="00E6343C"/>
    <w:rsid w:val="00E70C7E"/>
    <w:rsid w:val="00EA5946"/>
    <w:rsid w:val="00EA61B0"/>
    <w:rsid w:val="00F01212"/>
    <w:rsid w:val="00F52290"/>
    <w:rsid w:val="00F55290"/>
    <w:rsid w:val="00F61E06"/>
    <w:rsid w:val="00FA3155"/>
    <w:rsid w:val="00FC27B1"/>
    <w:rsid w:val="00FD1217"/>
    <w:rsid w:val="00FD1523"/>
    <w:rsid w:val="00FF2CC3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126C1"/>
  <w15:docId w15:val="{91C10363-2FE7-4F7D-8967-AA50B8F7E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decuadrcula1clara-nfasis6">
    <w:name w:val="Grid Table 1 Light Accent 6"/>
    <w:basedOn w:val="Tablanormal"/>
    <w:uiPriority w:val="46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2-nfasis6">
    <w:name w:val="List Table 2 Accent 6"/>
    <w:basedOn w:val="Tablanormal"/>
    <w:uiPriority w:val="47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13234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-nfasis6">
    <w:name w:val="Grid Table 7 Colorful Accent 6"/>
    <w:basedOn w:val="Tablanormal"/>
    <w:uiPriority w:val="52"/>
    <w:rsid w:val="0013234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1323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3-nfasis6">
    <w:name w:val="Grid Table 3 Accent 6"/>
    <w:basedOn w:val="Tablanormal"/>
    <w:uiPriority w:val="48"/>
    <w:rsid w:val="001323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Prrafodelista">
    <w:name w:val="List Paragraph"/>
    <w:aliases w:val="Bullet List,FooterText,numbered,Paragraphe de liste1,Bulletr List Paragraph,列出段落,列出段落1,List Paragraph2,List Paragraph21,Listeafsnit1,Parágrafo da Lista1,List Paragraph1,lp1,Fotografía,Scitum normal,HOJA,Bolita,Párrafo de lista4,BOLADEF"/>
    <w:basedOn w:val="Normal"/>
    <w:link w:val="PrrafodelistaCar"/>
    <w:uiPriority w:val="34"/>
    <w:qFormat/>
    <w:rsid w:val="001323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22E8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0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1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2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3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4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D5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931"/>
  </w:style>
  <w:style w:type="paragraph" w:styleId="Piedepgina">
    <w:name w:val="footer"/>
    <w:basedOn w:val="Normal"/>
    <w:link w:val="PiedepginaCar"/>
    <w:uiPriority w:val="99"/>
    <w:unhideWhenUsed/>
    <w:rsid w:val="008D5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931"/>
  </w:style>
  <w:style w:type="paragraph" w:styleId="Sinespaciado">
    <w:name w:val="No Spacing"/>
    <w:uiPriority w:val="1"/>
    <w:qFormat/>
    <w:rsid w:val="0044189F"/>
    <w:pPr>
      <w:spacing w:after="0" w:line="240" w:lineRule="auto"/>
    </w:pPr>
    <w:rPr>
      <w:rFonts w:cs="Times New Roman"/>
      <w:lang w:eastAsia="en-US"/>
    </w:rPr>
  </w:style>
  <w:style w:type="character" w:customStyle="1" w:styleId="apple-style-span">
    <w:name w:val="apple-style-span"/>
    <w:basedOn w:val="Fuentedeprrafopredeter"/>
    <w:rsid w:val="000A033B"/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 Car,List Paragraph21 Car,Listeafsnit1 Car,Parágrafo da Lista1 Car,List Paragraph1 Car,lp1 Car"/>
    <w:link w:val="Prrafodelista"/>
    <w:uiPriority w:val="1"/>
    <w:qFormat/>
    <w:locked/>
    <w:rsid w:val="00976178"/>
  </w:style>
  <w:style w:type="paragraph" w:styleId="NormalWeb">
    <w:name w:val="Normal (Web)"/>
    <w:basedOn w:val="Normal"/>
    <w:uiPriority w:val="99"/>
    <w:unhideWhenUsed/>
    <w:rsid w:val="0028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85F9A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62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D62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mmunity.secop.gov.co/Public/Tendering/OpportunityDetail/Index?noticeUID=CO1.NTC.8900413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ommunity.secop.gov.co/Public/Tendering/OpportunityDetail/Index?noticeUID=CO1.NTC.889967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IGonGBDvMmABV3uzlOTEvqEuZQ==">AMUW2mWc8ab+P5TVyAyY8QG+eoKDsnxyPVE1O76Jfsyjwir8f78HppJ3Has/hMqfDFk6Nv6sbjHbt6aKhH8FewjFGg1zFlGLobZUieDDvrSmsAlMZ5cdo3Y=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31176F-9127-461A-97E0-B3FD7D7BB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comunicaciones</dc:creator>
  <cp:lastModifiedBy>Claudia Nancy Marcela Chacon Urquijo</cp:lastModifiedBy>
  <cp:revision>2</cp:revision>
  <dcterms:created xsi:type="dcterms:W3CDTF">2026-02-23T21:00:00Z</dcterms:created>
  <dcterms:modified xsi:type="dcterms:W3CDTF">2026-02-23T21:00:00Z</dcterms:modified>
</cp:coreProperties>
</file>